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010B" w:rsidRPr="00B77DFA" w:rsidRDefault="000B7818" w:rsidP="00017A82">
      <w:pPr>
        <w:jc w:val="center"/>
        <w:rPr>
          <w:u w:val="single"/>
          <w:lang w:val="en-GB"/>
        </w:rPr>
      </w:pPr>
      <w:r>
        <w:rPr>
          <w:u w:val="single"/>
          <w:lang w:val="en-GB"/>
        </w:rPr>
        <w:t>Chapter Fif</w:t>
      </w:r>
      <w:r w:rsidR="00017A82" w:rsidRPr="00B77DFA">
        <w:rPr>
          <w:u w:val="single"/>
          <w:lang w:val="en-GB"/>
        </w:rPr>
        <w:t>teen</w:t>
      </w:r>
    </w:p>
    <w:p w:rsidR="00017A82" w:rsidRPr="00B77DFA" w:rsidRDefault="00017A82" w:rsidP="00017A82">
      <w:pPr>
        <w:jc w:val="center"/>
        <w:rPr>
          <w:u w:val="single"/>
          <w:lang w:val="en-GB"/>
        </w:rPr>
      </w:pPr>
      <w:r w:rsidRPr="00B77DFA">
        <w:rPr>
          <w:u w:val="single"/>
          <w:lang w:val="en-GB"/>
        </w:rPr>
        <w:t>Identification</w:t>
      </w:r>
    </w:p>
    <w:p w:rsidR="00B77DFA" w:rsidRDefault="00B77DFA" w:rsidP="00B77DFA">
      <w:pPr>
        <w:rPr>
          <w:lang w:val="en-GB"/>
        </w:rPr>
      </w:pPr>
      <w:r w:rsidRPr="00B77DFA">
        <w:rPr>
          <w:i/>
          <w:lang w:val="en-GB"/>
        </w:rPr>
        <w:t>Purpose</w:t>
      </w:r>
      <w:r w:rsidRPr="00B77DFA">
        <w:rPr>
          <w:lang w:val="en-GB"/>
        </w:rPr>
        <w:t>: In this talk we try to help people move from the stage of acquiring a more secure personal identity to</w:t>
      </w:r>
      <w:r>
        <w:rPr>
          <w:lang w:val="en-GB"/>
        </w:rPr>
        <w:t xml:space="preserve"> t</w:t>
      </w:r>
      <w:r w:rsidRPr="00B77DFA">
        <w:rPr>
          <w:lang w:val="en-GB"/>
        </w:rPr>
        <w:t>he next step of identification</w:t>
      </w:r>
      <w:r>
        <w:rPr>
          <w:lang w:val="en-GB"/>
        </w:rPr>
        <w:t xml:space="preserve"> with the family, group, people and/or church to which they belong.  Christians are often helped to grow in such an identification by understanding how Jesus identified himself with his own people, Israel, and then with all humanity.  An important purpose is to give </w:t>
      </w:r>
      <w:r w:rsidR="005E4F22">
        <w:rPr>
          <w:lang w:val="en-GB"/>
        </w:rPr>
        <w:t>people</w:t>
      </w:r>
      <w:r>
        <w:rPr>
          <w:lang w:val="en-GB"/>
        </w:rPr>
        <w:t xml:space="preserve"> a deeper sense of </w:t>
      </w:r>
      <w:r w:rsidR="005E4F22">
        <w:rPr>
          <w:lang w:val="en-GB"/>
        </w:rPr>
        <w:t>how Jesus has redeemed us</w:t>
      </w:r>
      <w:r>
        <w:rPr>
          <w:lang w:val="en-GB"/>
        </w:rPr>
        <w:t xml:space="preserve"> – because Jesus identified himself with us, with me: this helps to get people beyond a merely legalistic theory of the atonement.</w:t>
      </w:r>
    </w:p>
    <w:p w:rsidR="00B77DFA" w:rsidRDefault="00B77DFA" w:rsidP="00B77DFA">
      <w:pPr>
        <w:rPr>
          <w:lang w:val="en-GB"/>
        </w:rPr>
      </w:pPr>
      <w:r>
        <w:rPr>
          <w:i/>
          <w:lang w:val="en-GB"/>
        </w:rPr>
        <w:t>Presentation</w:t>
      </w:r>
      <w:r>
        <w:rPr>
          <w:lang w:val="en-GB"/>
        </w:rPr>
        <w:t xml:space="preserve">: Biblical examples are very important in this talk.  We can see how Moses identified himself with the whole people of Israel, and later this is particularly clear in the prophet Jeremiah and in Nehemiah.   Above all, we should show how Jesus identified himself with his people from his childhood, through his baptism by John and above all in his passion and death.  </w:t>
      </w:r>
      <w:r w:rsidR="003307A5">
        <w:rPr>
          <w:lang w:val="en-GB"/>
        </w:rPr>
        <w:t xml:space="preserve">It is good in this talk to make cross references to other teachings: </w:t>
      </w:r>
      <w:r w:rsidR="00925852">
        <w:rPr>
          <w:lang w:val="en-GB"/>
        </w:rPr>
        <w:t>particularly The Jewishness of</w:t>
      </w:r>
      <w:r w:rsidR="003307A5">
        <w:rPr>
          <w:lang w:val="en-GB"/>
        </w:rPr>
        <w:t xml:space="preserve"> Jesus </w:t>
      </w:r>
      <w:r w:rsidR="00925852">
        <w:rPr>
          <w:lang w:val="en-GB"/>
        </w:rPr>
        <w:t xml:space="preserve">(Ch. 10) and Redemption and </w:t>
      </w:r>
      <w:r w:rsidR="003307A5">
        <w:rPr>
          <w:lang w:val="en-GB"/>
        </w:rPr>
        <w:t xml:space="preserve">the </w:t>
      </w:r>
      <w:r w:rsidR="00925852">
        <w:rPr>
          <w:lang w:val="en-GB"/>
        </w:rPr>
        <w:t>R</w:t>
      </w:r>
      <w:r w:rsidR="003307A5">
        <w:rPr>
          <w:lang w:val="en-GB"/>
        </w:rPr>
        <w:t>e</w:t>
      </w:r>
      <w:r w:rsidR="00925852">
        <w:rPr>
          <w:lang w:val="en-GB"/>
        </w:rPr>
        <w:t>mnant (Ch. 11)</w:t>
      </w:r>
      <w:r w:rsidR="00455D88">
        <w:rPr>
          <w:lang w:val="en-GB"/>
        </w:rPr>
        <w:t xml:space="preserve"> and to a subsequent teaching on Intercession.</w:t>
      </w:r>
      <w:r w:rsidR="00322245">
        <w:rPr>
          <w:lang w:val="en-GB"/>
        </w:rPr>
        <w:t xml:space="preserve">  This teaching ends with a section on </w:t>
      </w:r>
      <w:proofErr w:type="spellStart"/>
      <w:r w:rsidR="00322245">
        <w:rPr>
          <w:lang w:val="en-GB"/>
        </w:rPr>
        <w:t>Identificational</w:t>
      </w:r>
      <w:proofErr w:type="spellEnd"/>
      <w:r w:rsidR="00322245">
        <w:rPr>
          <w:lang w:val="en-GB"/>
        </w:rPr>
        <w:t xml:space="preserve"> Repentance.  The leaders using this material will need to discern whether it is wiser to make that a separate teaching after the basic principles concerning Identity and Identification.</w:t>
      </w:r>
    </w:p>
    <w:p w:rsidR="008E1A48" w:rsidRPr="008E1A48" w:rsidRDefault="008E1A48" w:rsidP="00B77DFA">
      <w:pPr>
        <w:rPr>
          <w:u w:val="single"/>
          <w:lang w:val="en-GB"/>
        </w:rPr>
      </w:pPr>
      <w:r>
        <w:rPr>
          <w:u w:val="single"/>
          <w:lang w:val="en-GB"/>
        </w:rPr>
        <w:t>From Identity to Identification</w:t>
      </w:r>
    </w:p>
    <w:p w:rsidR="008E1A48" w:rsidRDefault="008E1A48" w:rsidP="00B77DFA">
      <w:pPr>
        <w:rPr>
          <w:lang w:val="en-GB"/>
        </w:rPr>
      </w:pPr>
      <w:r>
        <w:rPr>
          <w:lang w:val="en-GB"/>
        </w:rPr>
        <w:t>In this teaching we move on from identity to identification.  As we take hold of our personal identity in community and society (family, people, nation, community, church) we naturally develop a stronger loyalty to the people or group with whom God has placed us in the world.  We have a sense of belonging and a sense of pride.  These are my people, this is my community.  We should note here that in the groups to which we belong by birth and that do not result from our choice (I did not choose to have these parents or to be born into this nation)</w:t>
      </w:r>
      <w:r w:rsidR="00E80A93">
        <w:rPr>
          <w:lang w:val="en-GB"/>
        </w:rPr>
        <w:t>, a loyalty to family, clan-tribe and nation is something more innate than acquired.  But with those groupings with which I choose to be part (today a larger sector than in the generations before widespread migration and modern means of travel) a loyalty to the group is only developed over time.</w:t>
      </w:r>
    </w:p>
    <w:p w:rsidR="00F80DB5" w:rsidRDefault="008E1A48" w:rsidP="00B77DFA">
      <w:pPr>
        <w:rPr>
          <w:lang w:val="en-GB"/>
        </w:rPr>
      </w:pPr>
      <w:r>
        <w:rPr>
          <w:lang w:val="en-GB"/>
        </w:rPr>
        <w:t xml:space="preserve">Coming to a sense of our personal identity involves a process of healing and of maturing.  But then when we have </w:t>
      </w:r>
      <w:r w:rsidR="00F80DB5">
        <w:rPr>
          <w:lang w:val="en-GB"/>
        </w:rPr>
        <w:t>a clear sense of who we are and to what we belong, we are faced by other questions, such as how my people or group relates to other peoples and groups, and how we see the history of our own people.  With the issue of personal identity, we are faced by how sin has weakened and maybe devastated my sense of self-worth, and this should lead into the process of healing.  But as we move from identity to identification, we are faced by how sin has contaminated our social and societal relationships and how it has distorted our histories.</w:t>
      </w:r>
    </w:p>
    <w:p w:rsidR="005E4F22" w:rsidRDefault="008F1FAA" w:rsidP="00B77DFA">
      <w:pPr>
        <w:rPr>
          <w:u w:val="single"/>
          <w:lang w:val="en-GB"/>
        </w:rPr>
      </w:pPr>
      <w:r w:rsidRPr="008F1FAA">
        <w:rPr>
          <w:u w:val="single"/>
          <w:lang w:val="en-GB"/>
        </w:rPr>
        <w:t>How we Identify with our People</w:t>
      </w:r>
      <w:r w:rsidR="00F80DB5" w:rsidRPr="008F1FAA">
        <w:rPr>
          <w:u w:val="single"/>
          <w:lang w:val="en-GB"/>
        </w:rPr>
        <w:t xml:space="preserve"> </w:t>
      </w:r>
      <w:r w:rsidR="008E1A48" w:rsidRPr="008F1FAA">
        <w:rPr>
          <w:u w:val="single"/>
          <w:lang w:val="en-GB"/>
        </w:rPr>
        <w:t xml:space="preserve">  </w:t>
      </w:r>
    </w:p>
    <w:p w:rsidR="00F61FF4" w:rsidRDefault="008F1FAA" w:rsidP="00B77DFA">
      <w:pPr>
        <w:rPr>
          <w:lang w:val="en-GB"/>
        </w:rPr>
      </w:pPr>
      <w:r>
        <w:rPr>
          <w:lang w:val="en-GB"/>
        </w:rPr>
        <w:t xml:space="preserve">What is said here applies equally to family, nation, community and church.  </w:t>
      </w:r>
      <w:r w:rsidR="00F61FF4">
        <w:rPr>
          <w:lang w:val="en-GB"/>
        </w:rPr>
        <w:t xml:space="preserve">As we learn about our family, national and Christian heritage, we want to identify with the heroes or heroines, with what we really like (our best food, our music, our sense of humour, our art, our literature, our sports).  This can happen at a very unsophisticated level, such as tribal-type support for Manchester United or the latest music group, or at a much more cultured level, such as pride in Shakespeare, Beethoven, Verdi, etc.  A first challenge is whether our only heroes are from my group.  Or can we appreciate and </w:t>
      </w:r>
      <w:r w:rsidR="00F61FF4">
        <w:rPr>
          <w:lang w:val="en-GB"/>
        </w:rPr>
        <w:lastRenderedPageBreak/>
        <w:t xml:space="preserve">honour great people who were totally different from us?  </w:t>
      </w:r>
      <w:r w:rsidR="004D1F66">
        <w:rPr>
          <w:lang w:val="en-GB"/>
        </w:rPr>
        <w:t xml:space="preserve">Today more and more people travel a lot, far more than in past generations.  </w:t>
      </w:r>
      <w:r w:rsidR="004D1F66" w:rsidRPr="004D1F66">
        <w:rPr>
          <w:lang w:val="en-GB"/>
        </w:rPr>
        <w:t xml:space="preserve">When people travel to other nations and cultures, do we respect and learn to appreciate those cultures or do we look down on them, regard them as inferior and so despise or ignore them?  </w:t>
      </w:r>
      <w:r w:rsidR="00F61FF4">
        <w:rPr>
          <w:lang w:val="en-GB"/>
        </w:rPr>
        <w:t xml:space="preserve">Ultimately, </w:t>
      </w:r>
      <w:r w:rsidR="004D1F66">
        <w:rPr>
          <w:lang w:val="en-GB"/>
        </w:rPr>
        <w:t>we have to</w:t>
      </w:r>
      <w:r w:rsidR="00F61FF4">
        <w:rPr>
          <w:lang w:val="en-GB"/>
        </w:rPr>
        <w:t xml:space="preserve"> respect </w:t>
      </w:r>
      <w:r w:rsidR="004D1F66">
        <w:rPr>
          <w:lang w:val="en-GB"/>
        </w:rPr>
        <w:t xml:space="preserve">what is other </w:t>
      </w:r>
      <w:r w:rsidR="00F61FF4">
        <w:rPr>
          <w:lang w:val="en-GB"/>
        </w:rPr>
        <w:t>because we all have the same Creator, who made all things good.</w:t>
      </w:r>
    </w:p>
    <w:p w:rsidR="008F1FAA" w:rsidRDefault="00F61FF4" w:rsidP="00B77DFA">
      <w:pPr>
        <w:rPr>
          <w:lang w:val="en-GB"/>
        </w:rPr>
      </w:pPr>
      <w:r>
        <w:rPr>
          <w:lang w:val="en-GB"/>
        </w:rPr>
        <w:t xml:space="preserve">A few down to earth examples can be helpful.  </w:t>
      </w:r>
      <w:r w:rsidR="004D1F66">
        <w:rPr>
          <w:lang w:val="en-GB"/>
        </w:rPr>
        <w:t xml:space="preserve">An example from England: large numbers of British people go on package holidays to the Mediterranean seeking the sun.  Some are only interested in eating the same kind of food as they eat back home.  So in Spanish seaside resorts you can find a lot of places catering to these visitors, with large signs up advertising “Fish and Chips”, “Roast Beef or Sunday Roast”.  There is often excellent cooking in these Mediterranean lands, but the narrow-minded culturally-blind holidaymaker is not interested in trying anything different. </w:t>
      </w:r>
      <w:r w:rsidR="00AF4D9F">
        <w:rPr>
          <w:lang w:val="en-GB"/>
        </w:rPr>
        <w:t xml:space="preserve">  And of course the Spanish or Italians never succeed in cooking fish and chips and a Sunday roast like we do back home.</w:t>
      </w:r>
    </w:p>
    <w:p w:rsidR="00846A60" w:rsidRDefault="0060508A" w:rsidP="00B77DFA">
      <w:pPr>
        <w:rPr>
          <w:lang w:val="en-GB"/>
        </w:rPr>
      </w:pPr>
      <w:r>
        <w:rPr>
          <w:lang w:val="en-GB"/>
        </w:rPr>
        <w:t xml:space="preserve">When we come to our national or tribal histories (and often church histories as well), our educational systems have generally produced a highly patriotic version that does not begin to address the shameful parts of our national or church history.  </w:t>
      </w:r>
      <w:r w:rsidR="002261A4">
        <w:rPr>
          <w:lang w:val="en-GB"/>
        </w:rPr>
        <w:t xml:space="preserve">And because we are all sinners, also in human groupings, </w:t>
      </w:r>
      <w:r w:rsidR="00BE0AC8">
        <w:rPr>
          <w:lang w:val="en-GB"/>
        </w:rPr>
        <w:t xml:space="preserve">every nation and every church has </w:t>
      </w:r>
      <w:r w:rsidR="00201993">
        <w:rPr>
          <w:lang w:val="en-GB"/>
        </w:rPr>
        <w:t>its</w:t>
      </w:r>
      <w:r w:rsidR="00BE0AC8">
        <w:rPr>
          <w:lang w:val="en-GB"/>
        </w:rPr>
        <w:t xml:space="preserve"> history</w:t>
      </w:r>
      <w:r w:rsidR="00201993">
        <w:rPr>
          <w:lang w:val="en-GB"/>
        </w:rPr>
        <w:t xml:space="preserve"> of shame</w:t>
      </w:r>
      <w:r w:rsidR="00BE0AC8">
        <w:rPr>
          <w:lang w:val="en-GB"/>
        </w:rPr>
        <w:t>.  And in the case of the Churches, the longer the history of our Church, the more shameful elements there will be.</w:t>
      </w:r>
      <w:r w:rsidR="002169EB">
        <w:rPr>
          <w:lang w:val="en-GB"/>
        </w:rPr>
        <w:t xml:space="preserve">  No human beings enjoy admitting their sin and their shame, and this can be even more true of our Churches, because the Churches are called to be the vehicles of salvation and of the holy.</w:t>
      </w:r>
      <w:r w:rsidR="00B54F17">
        <w:rPr>
          <w:lang w:val="en-GB"/>
        </w:rPr>
        <w:t xml:space="preserve">  So we often find a strong loyalty to nation or church that only identifies with what we understand to be its glories.  Not only is such an identification partial (only identifying with part of the reality of our nation or church) but it is an identification based upon distortion – for all triumphalist versions of history are distortions.</w:t>
      </w:r>
    </w:p>
    <w:p w:rsidR="00504160" w:rsidRDefault="00504160" w:rsidP="00B77DFA">
      <w:pPr>
        <w:rPr>
          <w:lang w:val="en-GB"/>
        </w:rPr>
      </w:pPr>
      <w:r>
        <w:rPr>
          <w:lang w:val="en-GB"/>
        </w:rPr>
        <w:t xml:space="preserve">Examples: </w:t>
      </w:r>
      <w:r w:rsidR="00A17A7B">
        <w:rPr>
          <w:lang w:val="en-GB"/>
        </w:rPr>
        <w:t>1.  T</w:t>
      </w:r>
      <w:r>
        <w:rPr>
          <w:lang w:val="en-GB"/>
        </w:rPr>
        <w:t>he child abuse scandals in the Catholic Church in the last fifteen or more years have exposed a church culture of denial and of secrecy, in which the fewer people who knew about the scandals the better it would be as otherwise the image of holiness would be tarnished.  But such a policy involves a refusal to face our own sinfulness, so that it prefers hiding the facts to dealing effectively with the abuse.</w:t>
      </w:r>
    </w:p>
    <w:p w:rsidR="001D25AA" w:rsidRDefault="00A17A7B" w:rsidP="00B77DFA">
      <w:pPr>
        <w:rPr>
          <w:lang w:val="en-GB"/>
        </w:rPr>
      </w:pPr>
      <w:r>
        <w:rPr>
          <w:lang w:val="en-GB"/>
        </w:rPr>
        <w:t>2.  The “House of Terror” museum in Budapest, Hungary.</w:t>
      </w:r>
      <w:r w:rsidR="00BC2A13">
        <w:rPr>
          <w:lang w:val="en-GB"/>
        </w:rPr>
        <w:t xml:space="preserve">  This museum has been established in a house used first by the Nazis and then by the Communists as an interrogation centre, where people were tortured and even killed.  Why is this an example of refusing the face the facts of history?  Because in the exhibits, Hungary is presented as a “victim” country</w:t>
      </w:r>
      <w:r w:rsidR="00DA1D0A">
        <w:rPr>
          <w:lang w:val="en-GB"/>
        </w:rPr>
        <w:t>, victim of the Nazis and victim of the Russians, and the museum is disfigured by a spirit of blame (it is the only museum I have visited where the names and photos of all who worked there are publicly shown).</w:t>
      </w:r>
    </w:p>
    <w:p w:rsidR="001D25AA" w:rsidRDefault="001D25AA" w:rsidP="00B77DFA">
      <w:pPr>
        <w:rPr>
          <w:lang w:val="en-GB"/>
        </w:rPr>
      </w:pPr>
      <w:r>
        <w:rPr>
          <w:lang w:val="en-GB"/>
        </w:rPr>
        <w:t>How then do we handle the shameful elements in our corporate pasts?  We find God’s answer to this question in the Scriptures, both the Old and the New Testaments.</w:t>
      </w:r>
    </w:p>
    <w:p w:rsidR="00705B9C" w:rsidRDefault="00705B9C" w:rsidP="00B77DFA">
      <w:pPr>
        <w:rPr>
          <w:u w:val="single"/>
          <w:lang w:val="en-GB"/>
        </w:rPr>
      </w:pPr>
      <w:r>
        <w:rPr>
          <w:u w:val="single"/>
          <w:lang w:val="en-GB"/>
        </w:rPr>
        <w:t>The Witness of the Old Testament</w:t>
      </w:r>
    </w:p>
    <w:p w:rsidR="00A17A7B" w:rsidRDefault="00705B9C" w:rsidP="00B77DFA">
      <w:pPr>
        <w:rPr>
          <w:lang w:val="en-GB"/>
        </w:rPr>
      </w:pPr>
      <w:r>
        <w:rPr>
          <w:lang w:val="en-GB"/>
        </w:rPr>
        <w:t>The Old Testament is the chronicle of God’s chosen people from the time of their election until just before the coming of the Messiah.</w:t>
      </w:r>
      <w:r w:rsidR="00404A73">
        <w:rPr>
          <w:lang w:val="en-GB"/>
        </w:rPr>
        <w:t xml:space="preserve">  The Scriptural narrative presents us with the great heroes of Israel: Moses, Joshua, Samuel, David, Elijah and Elisha, Jeremiah, Nehemiah, Esther and many others.</w:t>
      </w:r>
      <w:r w:rsidR="00DA1D0A">
        <w:rPr>
          <w:lang w:val="en-GB"/>
        </w:rPr>
        <w:t xml:space="preserve">  </w:t>
      </w:r>
      <w:r w:rsidR="00630A28">
        <w:rPr>
          <w:lang w:val="en-GB"/>
        </w:rPr>
        <w:t xml:space="preserve">In presenting their great achievements, their courage, the Scriptures are paralleled by other ancient </w:t>
      </w:r>
      <w:r w:rsidR="00630A28">
        <w:rPr>
          <w:lang w:val="en-GB"/>
        </w:rPr>
        <w:lastRenderedPageBreak/>
        <w:t xml:space="preserve">forms of literature.  But there is one respect in which the Scriptures of Israel are undoubtedly unique: they do not seek to hide the weaknesses, the mistakes and the follies of </w:t>
      </w:r>
      <w:r w:rsidR="00B54F17">
        <w:rPr>
          <w:lang w:val="en-GB"/>
        </w:rPr>
        <w:t xml:space="preserve">the people and </w:t>
      </w:r>
      <w:r w:rsidR="00630A28">
        <w:rPr>
          <w:lang w:val="en-GB"/>
        </w:rPr>
        <w:t xml:space="preserve">even </w:t>
      </w:r>
      <w:r w:rsidR="00B54F17">
        <w:rPr>
          <w:lang w:val="en-GB"/>
        </w:rPr>
        <w:t xml:space="preserve">of </w:t>
      </w:r>
      <w:r w:rsidR="00630A28">
        <w:rPr>
          <w:lang w:val="en-GB"/>
        </w:rPr>
        <w:t>their greatest leaders.</w:t>
      </w:r>
      <w:r w:rsidR="00B54F17">
        <w:rPr>
          <w:lang w:val="en-GB"/>
        </w:rPr>
        <w:t xml:space="preserve">  So the repeated disobedience of Israel runs throughout the Old Testament from Genesis and Exodus to the prophets.  </w:t>
      </w:r>
      <w:r w:rsidR="00245162">
        <w:rPr>
          <w:lang w:val="en-GB"/>
        </w:rPr>
        <w:t>Aaron plays a major role in the rebellion of the golden calf (Ex. 32). Later Aaron and his sister Miriam contest the authority of Moses (</w:t>
      </w:r>
      <w:r w:rsidR="00245162">
        <w:rPr>
          <w:lang w:val="en-GB"/>
        </w:rPr>
        <w:softHyphen/>
        <w:t>Num. 12)</w:t>
      </w:r>
      <w:r w:rsidR="00036427">
        <w:rPr>
          <w:lang w:val="en-GB"/>
        </w:rPr>
        <w:t>.</w:t>
      </w:r>
      <w:r w:rsidR="00245162">
        <w:rPr>
          <w:lang w:val="en-GB"/>
        </w:rPr>
        <w:t xml:space="preserve"> </w:t>
      </w:r>
      <w:r w:rsidR="00036427">
        <w:rPr>
          <w:lang w:val="en-GB"/>
        </w:rPr>
        <w:t xml:space="preserve">  This seems to have</w:t>
      </w:r>
      <w:r w:rsidR="00245162">
        <w:rPr>
          <w:lang w:val="en-GB"/>
        </w:rPr>
        <w:t xml:space="preserve"> started from the marriage of Moses “with a </w:t>
      </w:r>
      <w:proofErr w:type="spellStart"/>
      <w:r w:rsidR="00245162">
        <w:rPr>
          <w:lang w:val="en-GB"/>
        </w:rPr>
        <w:t>Cushite</w:t>
      </w:r>
      <w:proofErr w:type="spellEnd"/>
      <w:r w:rsidR="00245162">
        <w:rPr>
          <w:lang w:val="en-GB"/>
        </w:rPr>
        <w:t xml:space="preserve"> woman” (Num. 12: 1), which is not an aspect of Moses’ life that is </w:t>
      </w:r>
      <w:r w:rsidR="00036427">
        <w:rPr>
          <w:lang w:val="en-GB"/>
        </w:rPr>
        <w:t>not emphasized, though it is not totally hidden</w:t>
      </w:r>
      <w:r w:rsidR="00245162">
        <w:rPr>
          <w:lang w:val="en-GB"/>
        </w:rPr>
        <w:t xml:space="preserve">.  </w:t>
      </w:r>
      <w:r w:rsidR="00B54F17">
        <w:rPr>
          <w:lang w:val="en-GB"/>
        </w:rPr>
        <w:t>The story of David describes his adultery with Bathsheba and the rebuke of the prophet Nathan (2 Sam. 11 - 12).  Later it mentions the displeasure of God over David numbering the Israelites in a census (2 Sam. 24).</w:t>
      </w:r>
      <w:r w:rsidR="009073A8">
        <w:rPr>
          <w:lang w:val="en-GB"/>
        </w:rPr>
        <w:t xml:space="preserve">  The sins of Solomon are not hidden.  King Josiah, a model king in many respects (“For no such Passover had been kept since the days of the judges who judged Israel, or during all the days of the kings of Israel or of the kings of Judah” 2 Kings 23: 22), “did not listen to the words of </w:t>
      </w:r>
      <w:proofErr w:type="spellStart"/>
      <w:r w:rsidR="009073A8">
        <w:rPr>
          <w:lang w:val="en-GB"/>
        </w:rPr>
        <w:t>Neco</w:t>
      </w:r>
      <w:proofErr w:type="spellEnd"/>
      <w:r w:rsidR="009073A8">
        <w:rPr>
          <w:lang w:val="en-GB"/>
        </w:rPr>
        <w:t xml:space="preserve"> from the mouth of God” (2 Chron. 35: 22) and as a result died in battle at the age of 39.  Jeremiah denounces </w:t>
      </w:r>
      <w:r w:rsidR="009F2B1C">
        <w:rPr>
          <w:lang w:val="en-GB"/>
        </w:rPr>
        <w:t>openly the corruption of the whole leadership  of God’s people:</w:t>
      </w:r>
      <w:r w:rsidR="00B54F17">
        <w:rPr>
          <w:lang w:val="en-GB"/>
        </w:rPr>
        <w:t xml:space="preserve"> </w:t>
      </w:r>
      <w:r w:rsidR="009F2B1C">
        <w:rPr>
          <w:lang w:val="en-GB"/>
        </w:rPr>
        <w:t>“The priests did not say, ‘Where is the LORD?  Those who handle the law did not know me; the rulers transgressed against me; the prophets prophesied by Baal” (Jer. 2: 8).</w:t>
      </w:r>
      <w:r w:rsidR="00A439BF">
        <w:rPr>
          <w:rStyle w:val="Funotenzeichen"/>
          <w:lang w:val="en-GB"/>
        </w:rPr>
        <w:footnoteReference w:id="1"/>
      </w:r>
      <w:r w:rsidR="00B54F17">
        <w:rPr>
          <w:lang w:val="en-GB"/>
        </w:rPr>
        <w:t xml:space="preserve">   </w:t>
      </w:r>
    </w:p>
    <w:p w:rsidR="004F45A2" w:rsidRPr="004F45A2" w:rsidRDefault="004F45A2" w:rsidP="00B77DFA">
      <w:pPr>
        <w:rPr>
          <w:u w:val="single"/>
          <w:lang w:val="en-GB"/>
        </w:rPr>
      </w:pPr>
      <w:r>
        <w:rPr>
          <w:u w:val="single"/>
          <w:lang w:val="en-GB"/>
        </w:rPr>
        <w:t>The Witness of the New Testament</w:t>
      </w:r>
    </w:p>
    <w:p w:rsidR="00A5739E" w:rsidRDefault="00036427" w:rsidP="00B77DFA">
      <w:pPr>
        <w:rPr>
          <w:lang w:val="en-GB"/>
        </w:rPr>
      </w:pPr>
      <w:r>
        <w:rPr>
          <w:lang w:val="en-GB"/>
        </w:rPr>
        <w:t xml:space="preserve">We find exactly the same pattern in the New Testament.  The twelve, whom Jesus chooses to train and send out, are not presented in a rosy light in the Gospels!  </w:t>
      </w:r>
      <w:r w:rsidR="005F2601">
        <w:rPr>
          <w:lang w:val="en-GB"/>
        </w:rPr>
        <w:t xml:space="preserve">They are slow to understand.  </w:t>
      </w:r>
      <w:r w:rsidR="00DD4B12">
        <w:rPr>
          <w:lang w:val="en-GB"/>
        </w:rPr>
        <w:t>Peter protests against the prophecy of Jesus’ suffering and is sever</w:t>
      </w:r>
      <w:r w:rsidR="002F0377">
        <w:rPr>
          <w:lang w:val="en-GB"/>
        </w:rPr>
        <w:t>e</w:t>
      </w:r>
      <w:r w:rsidR="00DD4B12">
        <w:rPr>
          <w:lang w:val="en-GB"/>
        </w:rPr>
        <w:t xml:space="preserve">ly rebuked (Matt. 16: 23).  </w:t>
      </w:r>
      <w:r w:rsidR="005F2601">
        <w:rPr>
          <w:lang w:val="en-GB"/>
        </w:rPr>
        <w:t>They respond to situations in ways that Jesus rejects (</w:t>
      </w:r>
      <w:r w:rsidR="00DD4B12">
        <w:rPr>
          <w:lang w:val="en-GB"/>
        </w:rPr>
        <w:t xml:space="preserve">Matt. 19: 13 – 15; </w:t>
      </w:r>
      <w:r w:rsidR="005F2601">
        <w:rPr>
          <w:lang w:val="en-GB"/>
        </w:rPr>
        <w:t>Luke 9: 54 – 55).</w:t>
      </w:r>
      <w:r w:rsidR="00F97FF1">
        <w:rPr>
          <w:lang w:val="en-GB"/>
        </w:rPr>
        <w:t xml:space="preserve">  They are jealous of one another and argumentative (Matt. 20: 24).</w:t>
      </w:r>
      <w:r>
        <w:rPr>
          <w:lang w:val="en-GB"/>
        </w:rPr>
        <w:t xml:space="preserve">  </w:t>
      </w:r>
      <w:r w:rsidR="00A5739E">
        <w:rPr>
          <w:lang w:val="en-GB"/>
        </w:rPr>
        <w:t xml:space="preserve">Then when Jesus comes to his passion, one of those he had chosen betrays him, the others run away and Peter denies his Lord.  </w:t>
      </w:r>
      <w:r w:rsidR="004D4A3B">
        <w:rPr>
          <w:lang w:val="en-GB"/>
        </w:rPr>
        <w:t>None of them understood his prophecies about his resurrection.  When the risen Jesus encounters two confused disciples on the road to Emmaus,</w:t>
      </w:r>
      <w:r w:rsidR="00922E3E">
        <w:rPr>
          <w:lang w:val="en-GB"/>
        </w:rPr>
        <w:t xml:space="preserve"> he rebukes them, saying, “O foolish men, and slow of heart to believe all that the prophets have spoken!” (Luke 24: 25).</w:t>
      </w:r>
      <w:r w:rsidR="00A5739E">
        <w:rPr>
          <w:lang w:val="en-GB"/>
        </w:rPr>
        <w:t xml:space="preserve"> </w:t>
      </w:r>
    </w:p>
    <w:p w:rsidR="00036427" w:rsidRDefault="00A5739E" w:rsidP="00B77DFA">
      <w:pPr>
        <w:rPr>
          <w:lang w:val="en-GB"/>
        </w:rPr>
      </w:pPr>
      <w:r>
        <w:rPr>
          <w:lang w:val="en-GB"/>
        </w:rPr>
        <w:t>Even after Pentecost the problems and difficulties in the first-generation Church are not covered up.</w:t>
      </w:r>
      <w:r w:rsidR="00922E3E">
        <w:rPr>
          <w:lang w:val="en-GB"/>
        </w:rPr>
        <w:t xml:space="preserve">  We hear about the deception of Ananias and </w:t>
      </w:r>
      <w:proofErr w:type="spellStart"/>
      <w:r w:rsidR="00922E3E">
        <w:rPr>
          <w:lang w:val="en-GB"/>
        </w:rPr>
        <w:t>Sapphira</w:t>
      </w:r>
      <w:proofErr w:type="spellEnd"/>
      <w:r w:rsidR="00922E3E">
        <w:rPr>
          <w:lang w:val="en-GB"/>
        </w:rPr>
        <w:t xml:space="preserve"> (Acts 5) and the dispute between the Greek-speaking and the Hebrew-speaking communities (Acts 6).</w:t>
      </w:r>
      <w:r w:rsidR="00D63F55">
        <w:rPr>
          <w:lang w:val="en-GB"/>
        </w:rPr>
        <w:t xml:space="preserve">  We are told of the conflict as to whether Gentile converts have to convert to Judaism to be saved (Acts 15).  We hear about a dispute between Peter and Paul about eating with Gentiles (Gal. 2</w:t>
      </w:r>
      <w:r w:rsidR="00385A66">
        <w:rPr>
          <w:lang w:val="en-GB"/>
        </w:rPr>
        <w:t>: 11 et seq.</w:t>
      </w:r>
      <w:r w:rsidR="00D63F55">
        <w:rPr>
          <w:lang w:val="en-GB"/>
        </w:rPr>
        <w:t xml:space="preserve">) and </w:t>
      </w:r>
      <w:r w:rsidR="00385A66">
        <w:rPr>
          <w:lang w:val="en-GB"/>
        </w:rPr>
        <w:t>another between Paul and Barnabas about taking John Mark on the second missionary journey (Acts 15: 39).</w:t>
      </w:r>
      <w:r w:rsidR="00D63F55">
        <w:rPr>
          <w:lang w:val="en-GB"/>
        </w:rPr>
        <w:t xml:space="preserve"> </w:t>
      </w:r>
      <w:r w:rsidR="00385A66">
        <w:rPr>
          <w:lang w:val="en-GB"/>
        </w:rPr>
        <w:t xml:space="preserve"> In the seven letters to the churches of Asia Minor in the book of revelation, only two of the seven do not receive strong admonishment and warning (Rev. 2 – 3).</w:t>
      </w:r>
    </w:p>
    <w:p w:rsidR="00191BBA" w:rsidRDefault="00191BBA" w:rsidP="00B77DFA">
      <w:pPr>
        <w:rPr>
          <w:u w:val="single"/>
          <w:lang w:val="en-GB"/>
        </w:rPr>
      </w:pPr>
      <w:r w:rsidRPr="00191BBA">
        <w:rPr>
          <w:u w:val="single"/>
          <w:lang w:val="en-GB"/>
        </w:rPr>
        <w:t>The Identification of Jesus</w:t>
      </w:r>
    </w:p>
    <w:p w:rsidR="00D7252C" w:rsidRDefault="00D7252C" w:rsidP="00B77DFA">
      <w:pPr>
        <w:rPr>
          <w:lang w:val="en-GB"/>
        </w:rPr>
      </w:pPr>
      <w:r w:rsidRPr="00D7252C">
        <w:rPr>
          <w:lang w:val="en-GB"/>
        </w:rPr>
        <w:t xml:space="preserve">This </w:t>
      </w:r>
      <w:r>
        <w:rPr>
          <w:lang w:val="en-GB"/>
        </w:rPr>
        <w:t xml:space="preserve">question has already been raised in the teaching on the Jewishness of Jesus (see Chapter Ten).  </w:t>
      </w:r>
      <w:r w:rsidR="0061043A">
        <w:rPr>
          <w:lang w:val="en-GB"/>
        </w:rPr>
        <w:t>Jesus is identified with his people at his circumcision on the eighth day after his birth as it was through circumcision that a male Jewish child entered the people of the covenant.</w:t>
      </w:r>
      <w:r w:rsidR="004D0F0D">
        <w:rPr>
          <w:lang w:val="en-GB"/>
        </w:rPr>
        <w:t xml:space="preserve">  This was taken further by Jesus at his baptism.  “</w:t>
      </w:r>
      <w:r w:rsidR="004D0F0D" w:rsidRPr="004D0F0D">
        <w:rPr>
          <w:lang w:val="en-GB"/>
        </w:rPr>
        <w:t xml:space="preserve">What the baptism of Jesus by John shows is that Jesus not only identified with his people in his conception, birth and circumcision, but he identified with them also in their sin.  Jesus, who was without sin, identified himself with his people in all their sin and their </w:t>
      </w:r>
      <w:r w:rsidR="004D0F0D" w:rsidRPr="004D0F0D">
        <w:rPr>
          <w:lang w:val="en-GB"/>
        </w:rPr>
        <w:lastRenderedPageBreak/>
        <w:t>sinfulness.</w:t>
      </w:r>
      <w:r w:rsidR="004D0F0D">
        <w:rPr>
          <w:lang w:val="en-GB"/>
        </w:rPr>
        <w:t>” (Chapter Ten).</w:t>
      </w:r>
      <w:r w:rsidR="00AD650F">
        <w:rPr>
          <w:lang w:val="en-GB"/>
        </w:rPr>
        <w:t xml:space="preserve">  This identification is most fully expressed in the sacrifice of Jesus as “the Lamb of God, who takes away the sins of the world”.  On the cross, Jesus is the representative of all Israel and of all humanity.</w:t>
      </w:r>
      <w:r w:rsidR="009B737D">
        <w:rPr>
          <w:lang w:val="en-GB"/>
        </w:rPr>
        <w:t xml:space="preserve">  His identity as “son of David, son of Abraham” made possible his total identification with all Israel and with all people.  </w:t>
      </w:r>
    </w:p>
    <w:p w:rsidR="002E5E95" w:rsidRDefault="002E5E95" w:rsidP="00B77DFA">
      <w:pPr>
        <w:rPr>
          <w:lang w:val="en-GB"/>
        </w:rPr>
      </w:pPr>
      <w:r>
        <w:rPr>
          <w:lang w:val="en-GB"/>
        </w:rPr>
        <w:t xml:space="preserve">Jesus goes further and fulfils the humble identification of Jeremiah, Nehemiah and Daniel in the Old Testament.  These men had all confessed and lamented over the sins of their people before the Lord.  </w:t>
      </w:r>
      <w:r w:rsidR="006C0723">
        <w:rPr>
          <w:lang w:val="en-GB"/>
        </w:rPr>
        <w:t xml:space="preserve">In their public prayers of confession, they did not just acknowledge that the people had sinned (“they” or “our fathers”) but they confessed, “We have sinned against the LORD our God, we and our fathers” (Jer. 3: 25; see also Jer. 14: 20; Neh. 9: 33 – 34; Dan. 9: 13, 20).  How does Jesus go further than these Old Testament heroes?  </w:t>
      </w:r>
      <w:r w:rsidR="009064AB">
        <w:rPr>
          <w:lang w:val="en-GB"/>
        </w:rPr>
        <w:t xml:space="preserve">First, </w:t>
      </w:r>
      <w:r w:rsidR="004F031D">
        <w:rPr>
          <w:lang w:val="en-GB"/>
        </w:rPr>
        <w:t>Jesus totally refuses to play the “blame game”.  In the Old Testament, the kings and empires that the LORD uses to afflict and correct Israel are rebuked by the prophets of Israel for their arrogance,</w:t>
      </w:r>
      <w:r w:rsidR="00BC5A95">
        <w:rPr>
          <w:lang w:val="en-GB"/>
        </w:rPr>
        <w:t xml:space="preserve"> and warned of their own impending destruction (Jer. 51: 1 – 5).  The spirit of vengeance found in Old Testament prayers (see Ps. 79: 12; see also Is. 61: 2b) is totally absent from the heart of Jesus: “When he was reviled, he did not revile in return; when he suffered, he did not threaten; but he trusted to him who judges justly.” (1 Peter 2: 23).</w:t>
      </w:r>
      <w:r w:rsidR="009064AB">
        <w:rPr>
          <w:lang w:val="en-GB"/>
        </w:rPr>
        <w:t xml:space="preserve">  Second, the identification of Jesus with his people includes all the peoples of the earth.  </w:t>
      </w:r>
      <w:r w:rsidR="00765036">
        <w:rPr>
          <w:lang w:val="en-GB"/>
        </w:rPr>
        <w:t>This is because he totally accepted the calling of Israel to be a priestly people, through whom blessing will come to the nations.  So he identifies also with the Gentiles who also participate in his condemnation and execution.</w:t>
      </w:r>
    </w:p>
    <w:p w:rsidR="00FA3444" w:rsidRDefault="00BC5A95" w:rsidP="00B77DFA">
      <w:pPr>
        <w:rPr>
          <w:lang w:val="en-GB"/>
        </w:rPr>
      </w:pPr>
      <w:r>
        <w:rPr>
          <w:lang w:val="en-GB"/>
        </w:rPr>
        <w:t xml:space="preserve">This total identification is an act of love.  </w:t>
      </w:r>
      <w:r w:rsidR="0080542B">
        <w:rPr>
          <w:lang w:val="en-GB"/>
        </w:rPr>
        <w:t xml:space="preserve">To accept our human identity is to accept the love and provision of God the Creator for us.  </w:t>
      </w:r>
      <w:r w:rsidR="00B47EA9">
        <w:rPr>
          <w:lang w:val="en-GB"/>
        </w:rPr>
        <w:t>But to move beyond identity to full identification is for us to enter into God’s movement of love.</w:t>
      </w:r>
      <w:r w:rsidR="00973B1B">
        <w:rPr>
          <w:lang w:val="en-GB"/>
        </w:rPr>
        <w:t xml:space="preserve"> </w:t>
      </w:r>
    </w:p>
    <w:p w:rsidR="00973B1B" w:rsidRDefault="00FA3444" w:rsidP="00B77DFA">
      <w:pPr>
        <w:rPr>
          <w:u w:val="single"/>
          <w:lang w:val="en-GB"/>
        </w:rPr>
      </w:pPr>
      <w:proofErr w:type="spellStart"/>
      <w:r w:rsidRPr="00FA3444">
        <w:rPr>
          <w:u w:val="single"/>
          <w:lang w:val="en-GB"/>
        </w:rPr>
        <w:t>Identificational</w:t>
      </w:r>
      <w:proofErr w:type="spellEnd"/>
      <w:r w:rsidRPr="00FA3444">
        <w:rPr>
          <w:u w:val="single"/>
          <w:lang w:val="en-GB"/>
        </w:rPr>
        <w:t xml:space="preserve"> Repentance</w:t>
      </w:r>
      <w:r w:rsidR="00973B1B" w:rsidRPr="00FA3444">
        <w:rPr>
          <w:u w:val="single"/>
          <w:lang w:val="en-GB"/>
        </w:rPr>
        <w:t xml:space="preserve"> </w:t>
      </w:r>
    </w:p>
    <w:p w:rsidR="00505914" w:rsidRDefault="00FA3444" w:rsidP="00B77DFA">
      <w:pPr>
        <w:rPr>
          <w:lang w:val="en-GB"/>
        </w:rPr>
      </w:pPr>
      <w:r>
        <w:rPr>
          <w:lang w:val="en-GB"/>
        </w:rPr>
        <w:t>The big increase in intercession for the healing of historic divisions in recent years has given rise to teaching on “</w:t>
      </w:r>
      <w:proofErr w:type="spellStart"/>
      <w:r>
        <w:rPr>
          <w:lang w:val="en-GB"/>
        </w:rPr>
        <w:t>identificational</w:t>
      </w:r>
      <w:proofErr w:type="spellEnd"/>
      <w:r>
        <w:rPr>
          <w:lang w:val="en-GB"/>
        </w:rPr>
        <w:t xml:space="preserve"> repentance”.  Another line of teaching calls this process “representative confession”.  The second label has the advantage of not using the word “repentance” for sins that we did not personall</w:t>
      </w:r>
      <w:r w:rsidR="00505914">
        <w:rPr>
          <w:lang w:val="en-GB"/>
        </w:rPr>
        <w:t xml:space="preserve">y commit.  </w:t>
      </w:r>
      <w:r>
        <w:rPr>
          <w:lang w:val="en-GB"/>
        </w:rPr>
        <w:t xml:space="preserve">But the term “representative” also raises </w:t>
      </w:r>
      <w:r w:rsidR="00505914">
        <w:rPr>
          <w:lang w:val="en-GB"/>
        </w:rPr>
        <w:t>questions about who can represent what, a more complex question perhaps than identification.</w:t>
      </w:r>
    </w:p>
    <w:p w:rsidR="008161F7" w:rsidRDefault="00505914" w:rsidP="008161F7">
      <w:pPr>
        <w:rPr>
          <w:lang w:val="en-GB"/>
        </w:rPr>
      </w:pPr>
      <w:r>
        <w:rPr>
          <w:lang w:val="en-GB"/>
        </w:rPr>
        <w:t xml:space="preserve">What all these people are agreed on is that: 1:  If the wounds of the past are to be overcome and healed, it is essential for the sins of the past, e.g. against the Jewish people, against the unity of the body of Christ, to be confessed as sin; 2.  We can follow the example of Nehemiah, Jeremiah and Daniel in confessing that “we and our fathers have sinned”; 3. It is very important that this confession be done by those from the nation or church responsible for such past sins; 4. It needs to build towards an official statement from the highest national or </w:t>
      </w:r>
      <w:r w:rsidR="008161F7">
        <w:rPr>
          <w:lang w:val="en-GB"/>
        </w:rPr>
        <w:t>church leadership in that area.</w:t>
      </w:r>
    </w:p>
    <w:p w:rsidR="00FA3444" w:rsidRPr="008161F7" w:rsidRDefault="00505914" w:rsidP="006F6992">
      <w:pPr>
        <w:rPr>
          <w:lang w:val="en-GB"/>
        </w:rPr>
      </w:pPr>
      <w:r w:rsidRPr="008161F7">
        <w:rPr>
          <w:rFonts w:cstheme="minorHAnsi"/>
          <w:lang w:val="en-GB"/>
        </w:rPr>
        <w:t xml:space="preserve">There are one or two practical questions that arise in this intercessory prayer and some principles that need to be borne in mind.  </w:t>
      </w:r>
      <w:r w:rsidR="001E37E8" w:rsidRPr="008161F7">
        <w:rPr>
          <w:rFonts w:cstheme="minorHAnsi"/>
          <w:lang w:val="en-GB"/>
        </w:rPr>
        <w:t>Key principles include the following: 1. Confession of past sins must be based on the real history, whi</w:t>
      </w:r>
      <w:r w:rsidR="008161F7">
        <w:rPr>
          <w:rFonts w:cstheme="minorHAnsi"/>
          <w:lang w:val="en-GB"/>
        </w:rPr>
        <w:t xml:space="preserve">ch </w:t>
      </w:r>
      <w:r w:rsidR="006F6992">
        <w:rPr>
          <w:rFonts w:cstheme="minorHAnsi"/>
          <w:lang w:val="en-GB"/>
        </w:rPr>
        <w:t>must be based on a degree of reliable research (beware of popular literature on the Church and the Jewish people which often contains historical errors);</w:t>
      </w:r>
      <w:r w:rsidR="004E07D2">
        <w:rPr>
          <w:rFonts w:cstheme="minorHAnsi"/>
          <w:lang w:val="en-GB"/>
        </w:rPr>
        <w:t xml:space="preserve"> 2. The prayer must be humble, as it is addressing a history of constant arrogance (there are no experts here, just more experienced intercessors); 3. Prayer must be totally truthful and authentic with no element of being against anyone (identification excludes all element of accusation); 4.  Nobody should claim a representative role who is not qualified to play a representative role.</w:t>
      </w:r>
    </w:p>
    <w:p w:rsidR="00973B1B" w:rsidRDefault="00973B1B" w:rsidP="00B77DFA">
      <w:pPr>
        <w:rPr>
          <w:lang w:val="en-GB"/>
        </w:rPr>
      </w:pPr>
      <w:r>
        <w:rPr>
          <w:lang w:val="en-GB"/>
        </w:rPr>
        <w:lastRenderedPageBreak/>
        <w:t>The love expressed in total identification is foundational when we consider whether we can identify with the sins of peoples to whom we do not belong when there are acts of “</w:t>
      </w:r>
      <w:proofErr w:type="spellStart"/>
      <w:r>
        <w:rPr>
          <w:lang w:val="en-GB"/>
        </w:rPr>
        <w:t>identificational</w:t>
      </w:r>
      <w:proofErr w:type="spellEnd"/>
      <w:r>
        <w:rPr>
          <w:lang w:val="en-GB"/>
        </w:rPr>
        <w:t xml:space="preserve"> repentance”, for example can non-Germans join in and identify with a German confession of the sins of Nazi Germany against the Jewish people?  Can other Christians join in and identify with the sins of the Catholic Church with the Spanish and Portuguese Inquisitions?  </w:t>
      </w:r>
      <w:r w:rsidR="004E07D2">
        <w:rPr>
          <w:lang w:val="en-GB"/>
        </w:rPr>
        <w:t xml:space="preserve">Only when there is a full identification with those who sinned in these ways.  </w:t>
      </w:r>
      <w:r>
        <w:rPr>
          <w:lang w:val="en-GB"/>
        </w:rPr>
        <w:t xml:space="preserve">Identification is commitment.  My identification is a personal stance that is part of who I am.  </w:t>
      </w:r>
      <w:r w:rsidR="004E07D2">
        <w:rPr>
          <w:lang w:val="en-GB"/>
        </w:rPr>
        <w:t>Thus there is no temporary identification, as a jet-setting intercessor identifies with groups in Spain one day, in Germany the next, and then on to Japan or China.  So only someone who has come to a deep love in their hearts for the perpetrators and the sinned against can effectively enter into this kind of “</w:t>
      </w:r>
      <w:proofErr w:type="spellStart"/>
      <w:r w:rsidR="004E07D2">
        <w:rPr>
          <w:lang w:val="en-GB"/>
        </w:rPr>
        <w:t>identificational</w:t>
      </w:r>
      <w:proofErr w:type="spellEnd"/>
      <w:r w:rsidR="004E07D2">
        <w:rPr>
          <w:lang w:val="en-GB"/>
        </w:rPr>
        <w:t xml:space="preserve"> repentance”.  So anyone with anti-Catholic prejudices can repent for the sins of the Catholic Church in Spain and Portugal.  </w:t>
      </w:r>
      <w:r w:rsidR="002255E2">
        <w:rPr>
          <w:lang w:val="en-GB"/>
        </w:rPr>
        <w:t xml:space="preserve">When they love the Jewish people, they can certainly pray for the descendants of the </w:t>
      </w:r>
      <w:proofErr w:type="spellStart"/>
      <w:r w:rsidR="002255E2">
        <w:rPr>
          <w:lang w:val="en-GB"/>
        </w:rPr>
        <w:t>Marranos</w:t>
      </w:r>
      <w:proofErr w:type="spellEnd"/>
      <w:r w:rsidR="002255E2">
        <w:rPr>
          <w:lang w:val="en-GB"/>
        </w:rPr>
        <w:t xml:space="preserve"> and their spiritual liberation, but they cannot do that part of the task that is confessing the sins of the Catholic Church.</w:t>
      </w:r>
      <w:r w:rsidR="00790C1D">
        <w:rPr>
          <w:lang w:val="en-GB"/>
        </w:rPr>
        <w:t xml:space="preserve">  An important safeguard here is to before the time of repentance and confession to focus on all the good things (in Germany, in Christian history in Germany, in the Catholic history in Spain and Portugal) before beginning the confession of the sins.</w:t>
      </w:r>
      <w:bookmarkStart w:id="0" w:name="_GoBack"/>
      <w:bookmarkEnd w:id="0"/>
    </w:p>
    <w:p w:rsidR="00695C3A" w:rsidRDefault="00695C3A" w:rsidP="00B77DFA">
      <w:pPr>
        <w:rPr>
          <w:u w:val="single"/>
          <w:lang w:val="en-GB"/>
        </w:rPr>
      </w:pPr>
      <w:r>
        <w:rPr>
          <w:u w:val="single"/>
          <w:lang w:val="en-GB"/>
        </w:rPr>
        <w:t>Points for Discussion</w:t>
      </w:r>
    </w:p>
    <w:p w:rsidR="00695C3A" w:rsidRDefault="00695C3A" w:rsidP="00695C3A">
      <w:pPr>
        <w:pStyle w:val="Listenabsatz"/>
        <w:numPr>
          <w:ilvl w:val="0"/>
          <w:numId w:val="1"/>
        </w:numPr>
        <w:rPr>
          <w:lang w:val="en-GB"/>
        </w:rPr>
      </w:pPr>
      <w:r>
        <w:rPr>
          <w:lang w:val="en-GB"/>
        </w:rPr>
        <w:t xml:space="preserve"> Describe how you see this process from identity to identification taking place in your own life.</w:t>
      </w:r>
    </w:p>
    <w:p w:rsidR="00695C3A" w:rsidRDefault="00695C3A" w:rsidP="00695C3A">
      <w:pPr>
        <w:pStyle w:val="Listenabsatz"/>
        <w:rPr>
          <w:lang w:val="en-GB"/>
        </w:rPr>
      </w:pPr>
    </w:p>
    <w:p w:rsidR="00695C3A" w:rsidRDefault="00695C3A" w:rsidP="00695C3A">
      <w:pPr>
        <w:pStyle w:val="Listenabsatz"/>
        <w:numPr>
          <w:ilvl w:val="0"/>
          <w:numId w:val="1"/>
        </w:numPr>
        <w:rPr>
          <w:lang w:val="en-GB"/>
        </w:rPr>
      </w:pPr>
      <w:r>
        <w:rPr>
          <w:lang w:val="en-GB"/>
        </w:rPr>
        <w:t>Has there been a growing maturity in the way you see and understand the shadow side of your nation’s or your church’s past?</w:t>
      </w:r>
    </w:p>
    <w:p w:rsidR="00695C3A" w:rsidRDefault="00695C3A" w:rsidP="00695C3A">
      <w:pPr>
        <w:pStyle w:val="Listenabsatz"/>
        <w:rPr>
          <w:lang w:val="en-GB"/>
        </w:rPr>
      </w:pPr>
    </w:p>
    <w:p w:rsidR="00695C3A" w:rsidRPr="00695C3A" w:rsidRDefault="00695C3A" w:rsidP="00695C3A">
      <w:pPr>
        <w:pStyle w:val="Listenabsatz"/>
        <w:numPr>
          <w:ilvl w:val="0"/>
          <w:numId w:val="1"/>
        </w:numPr>
        <w:rPr>
          <w:lang w:val="en-GB"/>
        </w:rPr>
      </w:pPr>
      <w:r>
        <w:rPr>
          <w:lang w:val="en-GB"/>
        </w:rPr>
        <w:t xml:space="preserve">Have you taken part in any </w:t>
      </w:r>
      <w:proofErr w:type="spellStart"/>
      <w:r>
        <w:rPr>
          <w:lang w:val="en-GB"/>
        </w:rPr>
        <w:t>identificational</w:t>
      </w:r>
      <w:proofErr w:type="spellEnd"/>
      <w:r>
        <w:rPr>
          <w:lang w:val="en-GB"/>
        </w:rPr>
        <w:t xml:space="preserve"> repentance?  Could you imagine yourself doing this?</w:t>
      </w:r>
    </w:p>
    <w:p w:rsidR="00BC5A95" w:rsidRPr="00D7252C" w:rsidRDefault="0080542B" w:rsidP="00B77DFA">
      <w:pPr>
        <w:rPr>
          <w:lang w:val="en-GB"/>
        </w:rPr>
      </w:pPr>
      <w:r>
        <w:rPr>
          <w:lang w:val="en-GB"/>
        </w:rPr>
        <w:t xml:space="preserve">  </w:t>
      </w:r>
    </w:p>
    <w:sectPr w:rsidR="00BC5A95" w:rsidRPr="00D7252C">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36EF" w:rsidRDefault="00A336EF" w:rsidP="00017A82">
      <w:pPr>
        <w:spacing w:after="0" w:line="240" w:lineRule="auto"/>
      </w:pPr>
      <w:r>
        <w:separator/>
      </w:r>
    </w:p>
  </w:endnote>
  <w:endnote w:type="continuationSeparator" w:id="0">
    <w:p w:rsidR="00A336EF" w:rsidRDefault="00A336EF" w:rsidP="00017A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A82" w:rsidRDefault="00017A82">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A82" w:rsidRDefault="00017A82">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A82" w:rsidRDefault="00017A82">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36EF" w:rsidRDefault="00A336EF" w:rsidP="00017A82">
      <w:pPr>
        <w:spacing w:after="0" w:line="240" w:lineRule="auto"/>
      </w:pPr>
      <w:r>
        <w:separator/>
      </w:r>
    </w:p>
  </w:footnote>
  <w:footnote w:type="continuationSeparator" w:id="0">
    <w:p w:rsidR="00A336EF" w:rsidRDefault="00A336EF" w:rsidP="00017A82">
      <w:pPr>
        <w:spacing w:after="0" w:line="240" w:lineRule="auto"/>
      </w:pPr>
      <w:r>
        <w:continuationSeparator/>
      </w:r>
    </w:p>
  </w:footnote>
  <w:footnote w:id="1">
    <w:p w:rsidR="00A439BF" w:rsidRDefault="00A439BF">
      <w:pPr>
        <w:pStyle w:val="Funotentext"/>
      </w:pPr>
      <w:r>
        <w:rPr>
          <w:rStyle w:val="Funotenzeichen"/>
        </w:rPr>
        <w:footnoteRef/>
      </w:r>
      <w:r>
        <w:t xml:space="preserve">  See also Jer. 4: 9; 5: 30 – 31; 6: 13 – 14; 8: 8 – 12; 23: 14 – 15.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A82" w:rsidRDefault="00017A82">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1074627"/>
      <w:docPartObj>
        <w:docPartGallery w:val="Page Numbers (Top of Page)"/>
        <w:docPartUnique/>
      </w:docPartObj>
    </w:sdtPr>
    <w:sdtEndPr/>
    <w:sdtContent>
      <w:p w:rsidR="00017A82" w:rsidRDefault="00017A82">
        <w:pPr>
          <w:pStyle w:val="Kopfzeile"/>
          <w:jc w:val="right"/>
        </w:pPr>
        <w:r>
          <w:fldChar w:fldCharType="begin"/>
        </w:r>
        <w:r>
          <w:instrText>PAGE   \* MERGEFORMAT</w:instrText>
        </w:r>
        <w:r>
          <w:fldChar w:fldCharType="separate"/>
        </w:r>
        <w:r w:rsidR="00790C1D" w:rsidRPr="00790C1D">
          <w:rPr>
            <w:noProof/>
            <w:lang w:val="de-DE"/>
          </w:rPr>
          <w:t>5</w:t>
        </w:r>
        <w:r>
          <w:fldChar w:fldCharType="end"/>
        </w:r>
      </w:p>
    </w:sdtContent>
  </w:sdt>
  <w:p w:rsidR="00017A82" w:rsidRDefault="00017A82">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A82" w:rsidRDefault="00017A82">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27662EB"/>
    <w:multiLevelType w:val="hybridMultilevel"/>
    <w:tmpl w:val="975A0518"/>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7A82"/>
    <w:rsid w:val="00017A82"/>
    <w:rsid w:val="00036427"/>
    <w:rsid w:val="00084B80"/>
    <w:rsid w:val="000B7818"/>
    <w:rsid w:val="00160DB4"/>
    <w:rsid w:val="00191BBA"/>
    <w:rsid w:val="001D25AA"/>
    <w:rsid w:val="001E37E8"/>
    <w:rsid w:val="00201993"/>
    <w:rsid w:val="002169EB"/>
    <w:rsid w:val="002255E2"/>
    <w:rsid w:val="002261A4"/>
    <w:rsid w:val="00245162"/>
    <w:rsid w:val="002E5E95"/>
    <w:rsid w:val="002F0377"/>
    <w:rsid w:val="003027E8"/>
    <w:rsid w:val="00322245"/>
    <w:rsid w:val="003307A5"/>
    <w:rsid w:val="00385A66"/>
    <w:rsid w:val="00404A73"/>
    <w:rsid w:val="00455D88"/>
    <w:rsid w:val="004D0F0D"/>
    <w:rsid w:val="004D1F66"/>
    <w:rsid w:val="004D4A3B"/>
    <w:rsid w:val="004E07D2"/>
    <w:rsid w:val="004F031D"/>
    <w:rsid w:val="004F45A2"/>
    <w:rsid w:val="00504160"/>
    <w:rsid w:val="00505914"/>
    <w:rsid w:val="005E4F22"/>
    <w:rsid w:val="005F2601"/>
    <w:rsid w:val="0060508A"/>
    <w:rsid w:val="0061043A"/>
    <w:rsid w:val="00630A28"/>
    <w:rsid w:val="0067010B"/>
    <w:rsid w:val="00695C3A"/>
    <w:rsid w:val="006C0723"/>
    <w:rsid w:val="006F6992"/>
    <w:rsid w:val="00705B9C"/>
    <w:rsid w:val="00744580"/>
    <w:rsid w:val="00765036"/>
    <w:rsid w:val="00790C1D"/>
    <w:rsid w:val="0080542B"/>
    <w:rsid w:val="008161F7"/>
    <w:rsid w:val="00846A60"/>
    <w:rsid w:val="00895F8E"/>
    <w:rsid w:val="008E1A48"/>
    <w:rsid w:val="008F1FAA"/>
    <w:rsid w:val="009064AB"/>
    <w:rsid w:val="009073A8"/>
    <w:rsid w:val="00922E3E"/>
    <w:rsid w:val="00925852"/>
    <w:rsid w:val="00943130"/>
    <w:rsid w:val="00973B1B"/>
    <w:rsid w:val="009B737D"/>
    <w:rsid w:val="009D2E1E"/>
    <w:rsid w:val="009F2B1C"/>
    <w:rsid w:val="00A17A7B"/>
    <w:rsid w:val="00A336EF"/>
    <w:rsid w:val="00A439BF"/>
    <w:rsid w:val="00A5739E"/>
    <w:rsid w:val="00AD650F"/>
    <w:rsid w:val="00AF4D9F"/>
    <w:rsid w:val="00B47EA9"/>
    <w:rsid w:val="00B53F0A"/>
    <w:rsid w:val="00B54F17"/>
    <w:rsid w:val="00B77DFA"/>
    <w:rsid w:val="00BC2A13"/>
    <w:rsid w:val="00BC5A95"/>
    <w:rsid w:val="00BE0AC8"/>
    <w:rsid w:val="00C714DC"/>
    <w:rsid w:val="00D63F55"/>
    <w:rsid w:val="00D7252C"/>
    <w:rsid w:val="00DA1D0A"/>
    <w:rsid w:val="00DD4B12"/>
    <w:rsid w:val="00DE2469"/>
    <w:rsid w:val="00E80A93"/>
    <w:rsid w:val="00F61FF4"/>
    <w:rsid w:val="00F80DB5"/>
    <w:rsid w:val="00F97FF1"/>
    <w:rsid w:val="00FA3444"/>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8161F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17A8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017A82"/>
  </w:style>
  <w:style w:type="paragraph" w:styleId="Fuzeile">
    <w:name w:val="footer"/>
    <w:basedOn w:val="Standard"/>
    <w:link w:val="FuzeileZchn"/>
    <w:uiPriority w:val="99"/>
    <w:unhideWhenUsed/>
    <w:rsid w:val="00017A8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017A82"/>
  </w:style>
  <w:style w:type="paragraph" w:styleId="Funotentext">
    <w:name w:val="footnote text"/>
    <w:basedOn w:val="Standard"/>
    <w:link w:val="FunotentextZchn"/>
    <w:uiPriority w:val="99"/>
    <w:semiHidden/>
    <w:unhideWhenUsed/>
    <w:rsid w:val="00A439BF"/>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A439BF"/>
    <w:rPr>
      <w:sz w:val="20"/>
      <w:szCs w:val="20"/>
    </w:rPr>
  </w:style>
  <w:style w:type="character" w:styleId="Funotenzeichen">
    <w:name w:val="footnote reference"/>
    <w:basedOn w:val="Absatz-Standardschriftart"/>
    <w:uiPriority w:val="99"/>
    <w:semiHidden/>
    <w:unhideWhenUsed/>
    <w:rsid w:val="00A439BF"/>
    <w:rPr>
      <w:vertAlign w:val="superscript"/>
    </w:rPr>
  </w:style>
  <w:style w:type="character" w:customStyle="1" w:styleId="berschrift1Zchn">
    <w:name w:val="Überschrift 1 Zchn"/>
    <w:basedOn w:val="Absatz-Standardschriftart"/>
    <w:link w:val="berschrift1"/>
    <w:uiPriority w:val="9"/>
    <w:rsid w:val="008161F7"/>
    <w:rPr>
      <w:rFonts w:asciiTheme="majorHAnsi" w:eastAsiaTheme="majorEastAsia" w:hAnsiTheme="majorHAnsi" w:cstheme="majorBidi"/>
      <w:b/>
      <w:bCs/>
      <w:color w:val="365F91" w:themeColor="accent1" w:themeShade="BF"/>
      <w:sz w:val="28"/>
      <w:szCs w:val="28"/>
    </w:rPr>
  </w:style>
  <w:style w:type="paragraph" w:styleId="Listenabsatz">
    <w:name w:val="List Paragraph"/>
    <w:basedOn w:val="Standard"/>
    <w:uiPriority w:val="34"/>
    <w:qFormat/>
    <w:rsid w:val="00695C3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8161F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17A8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017A82"/>
  </w:style>
  <w:style w:type="paragraph" w:styleId="Fuzeile">
    <w:name w:val="footer"/>
    <w:basedOn w:val="Standard"/>
    <w:link w:val="FuzeileZchn"/>
    <w:uiPriority w:val="99"/>
    <w:unhideWhenUsed/>
    <w:rsid w:val="00017A8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017A82"/>
  </w:style>
  <w:style w:type="paragraph" w:styleId="Funotentext">
    <w:name w:val="footnote text"/>
    <w:basedOn w:val="Standard"/>
    <w:link w:val="FunotentextZchn"/>
    <w:uiPriority w:val="99"/>
    <w:semiHidden/>
    <w:unhideWhenUsed/>
    <w:rsid w:val="00A439BF"/>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A439BF"/>
    <w:rPr>
      <w:sz w:val="20"/>
      <w:szCs w:val="20"/>
    </w:rPr>
  </w:style>
  <w:style w:type="character" w:styleId="Funotenzeichen">
    <w:name w:val="footnote reference"/>
    <w:basedOn w:val="Absatz-Standardschriftart"/>
    <w:uiPriority w:val="99"/>
    <w:semiHidden/>
    <w:unhideWhenUsed/>
    <w:rsid w:val="00A439BF"/>
    <w:rPr>
      <w:vertAlign w:val="superscript"/>
    </w:rPr>
  </w:style>
  <w:style w:type="character" w:customStyle="1" w:styleId="berschrift1Zchn">
    <w:name w:val="Überschrift 1 Zchn"/>
    <w:basedOn w:val="Absatz-Standardschriftart"/>
    <w:link w:val="berschrift1"/>
    <w:uiPriority w:val="9"/>
    <w:rsid w:val="008161F7"/>
    <w:rPr>
      <w:rFonts w:asciiTheme="majorHAnsi" w:eastAsiaTheme="majorEastAsia" w:hAnsiTheme="majorHAnsi" w:cstheme="majorBidi"/>
      <w:b/>
      <w:bCs/>
      <w:color w:val="365F91" w:themeColor="accent1" w:themeShade="BF"/>
      <w:sz w:val="28"/>
      <w:szCs w:val="28"/>
    </w:rPr>
  </w:style>
  <w:style w:type="paragraph" w:styleId="Listenabsatz">
    <w:name w:val="List Paragraph"/>
    <w:basedOn w:val="Standard"/>
    <w:uiPriority w:val="34"/>
    <w:qFormat/>
    <w:rsid w:val="00695C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8918065">
      <w:bodyDiv w:val="1"/>
      <w:marLeft w:val="0"/>
      <w:marRight w:val="0"/>
      <w:marTop w:val="0"/>
      <w:marBottom w:val="0"/>
      <w:divBdr>
        <w:top w:val="none" w:sz="0" w:space="0" w:color="auto"/>
        <w:left w:val="none" w:sz="0" w:space="0" w:color="auto"/>
        <w:bottom w:val="none" w:sz="0" w:space="0" w:color="auto"/>
        <w:right w:val="none" w:sz="0" w:space="0" w:color="auto"/>
      </w:divBdr>
      <w:divsChild>
        <w:div w:id="1204095742">
          <w:marLeft w:val="0"/>
          <w:marRight w:val="0"/>
          <w:marTop w:val="0"/>
          <w:marBottom w:val="0"/>
          <w:divBdr>
            <w:top w:val="none" w:sz="0" w:space="0" w:color="auto"/>
            <w:left w:val="none" w:sz="0" w:space="0" w:color="auto"/>
            <w:bottom w:val="none" w:sz="0" w:space="0" w:color="auto"/>
            <w:right w:val="none" w:sz="0" w:space="0" w:color="auto"/>
          </w:divBdr>
        </w:div>
        <w:div w:id="1060783187">
          <w:marLeft w:val="0"/>
          <w:marRight w:val="0"/>
          <w:marTop w:val="0"/>
          <w:marBottom w:val="0"/>
          <w:divBdr>
            <w:top w:val="none" w:sz="0" w:space="0" w:color="auto"/>
            <w:left w:val="none" w:sz="0" w:space="0" w:color="auto"/>
            <w:bottom w:val="none" w:sz="0" w:space="0" w:color="auto"/>
            <w:right w:val="none" w:sz="0" w:space="0" w:color="auto"/>
          </w:divBdr>
        </w:div>
        <w:div w:id="996617353">
          <w:marLeft w:val="0"/>
          <w:marRight w:val="0"/>
          <w:marTop w:val="0"/>
          <w:marBottom w:val="0"/>
          <w:divBdr>
            <w:top w:val="none" w:sz="0" w:space="0" w:color="auto"/>
            <w:left w:val="none" w:sz="0" w:space="0" w:color="auto"/>
            <w:bottom w:val="none" w:sz="0" w:space="0" w:color="auto"/>
            <w:right w:val="none" w:sz="0" w:space="0" w:color="auto"/>
          </w:divBdr>
        </w:div>
        <w:div w:id="249237949">
          <w:marLeft w:val="0"/>
          <w:marRight w:val="0"/>
          <w:marTop w:val="0"/>
          <w:marBottom w:val="0"/>
          <w:divBdr>
            <w:top w:val="none" w:sz="0" w:space="0" w:color="auto"/>
            <w:left w:val="none" w:sz="0" w:space="0" w:color="auto"/>
            <w:bottom w:val="none" w:sz="0" w:space="0" w:color="auto"/>
            <w:right w:val="none" w:sz="0" w:space="0" w:color="auto"/>
          </w:divBdr>
        </w:div>
        <w:div w:id="2550669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FEDBFF-893D-4A46-8ADF-A914C256C6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2314</Words>
  <Characters>14583</Characters>
  <Application>Microsoft Office Word</Application>
  <DocSecurity>0</DocSecurity>
  <Lines>121</Lines>
  <Paragraphs>33</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16864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dc:creator>
  <cp:lastModifiedBy>Peter</cp:lastModifiedBy>
  <cp:revision>55</cp:revision>
  <dcterms:created xsi:type="dcterms:W3CDTF">2011-03-24T17:15:00Z</dcterms:created>
  <dcterms:modified xsi:type="dcterms:W3CDTF">2011-04-12T15:48:00Z</dcterms:modified>
</cp:coreProperties>
</file>